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93C" w:rsidRDefault="0061693C" w:rsidP="00FE6A41">
      <w:pPr>
        <w:pStyle w:val="ASDEFCONTitle"/>
      </w:pPr>
      <w:r>
        <w:t>DATA ITEM DESCRIPTION</w:t>
      </w:r>
    </w:p>
    <w:p w:rsidR="0061693C" w:rsidRDefault="0061693C" w:rsidP="00FE6A41">
      <w:pPr>
        <w:pStyle w:val="SOWHL1-ASDEFCON"/>
      </w:pPr>
      <w:r>
        <w:t>DID N</w:t>
      </w:r>
      <w:r w:rsidR="008157F1">
        <w:t>UMBER</w:t>
      </w:r>
      <w:r>
        <w:t>:</w:t>
      </w:r>
      <w:r>
        <w:tab/>
      </w:r>
      <w:r w:rsidR="00EA2D4A">
        <w:fldChar w:fldCharType="begin"/>
      </w:r>
      <w:r w:rsidR="00EA2D4A">
        <w:instrText xml:space="preserve"> TITLE   \* MERGEFORMAT </w:instrText>
      </w:r>
      <w:r w:rsidR="00EA2D4A">
        <w:fldChar w:fldCharType="separate"/>
      </w:r>
      <w:r w:rsidR="00C63889">
        <w:t>DID-PM-HSE-SDS</w:t>
      </w:r>
      <w:r w:rsidR="00EA2D4A">
        <w:fldChar w:fldCharType="end"/>
      </w:r>
      <w:r>
        <w:t>-</w:t>
      </w:r>
      <w:r w:rsidR="00EA2D4A">
        <w:fldChar w:fldCharType="begin"/>
      </w:r>
      <w:r w:rsidR="00EA2D4A">
        <w:instrText xml:space="preserve"> DOCPROPERTY Version </w:instrText>
      </w:r>
      <w:r w:rsidR="00EA2D4A">
        <w:fldChar w:fldCharType="separate"/>
      </w:r>
      <w:r w:rsidR="00C63889">
        <w:t>V5.3</w:t>
      </w:r>
      <w:r w:rsidR="00EA2D4A">
        <w:fldChar w:fldCharType="end"/>
      </w:r>
    </w:p>
    <w:p w:rsidR="0061693C" w:rsidRDefault="0061693C" w:rsidP="00FE6A41">
      <w:pPr>
        <w:pStyle w:val="SOWHL1-ASDEFCON"/>
      </w:pPr>
      <w:r>
        <w:t>TITLE:</w:t>
      </w:r>
      <w:r>
        <w:tab/>
      </w:r>
      <w:r w:rsidR="005F642E">
        <w:t>Safety Data Sheet</w:t>
      </w:r>
    </w:p>
    <w:p w:rsidR="0061693C" w:rsidRDefault="0061693C" w:rsidP="00FE6A41">
      <w:pPr>
        <w:pStyle w:val="SOWHL1-ASDEFCON"/>
      </w:pPr>
      <w:r>
        <w:t>DESCRIPTION and intended use</w:t>
      </w:r>
    </w:p>
    <w:p w:rsidR="0061693C" w:rsidRDefault="00D63CC8" w:rsidP="00FE6A41">
      <w:pPr>
        <w:pStyle w:val="SOWTL2-ASDEFCON"/>
      </w:pPr>
      <w:r>
        <w:t xml:space="preserve">A </w:t>
      </w:r>
      <w:r w:rsidR="0061693C">
        <w:t>Safety Data Sheet (SDS) provide</w:t>
      </w:r>
      <w:r>
        <w:t>s</w:t>
      </w:r>
      <w:r w:rsidR="0061693C">
        <w:t xml:space="preserve"> information </w:t>
      </w:r>
      <w:r>
        <w:t>on the properties of Hazardous Chemicals, how they affect health and safety</w:t>
      </w:r>
      <w:r w:rsidR="004248B7">
        <w:t>,</w:t>
      </w:r>
      <w:r>
        <w:t xml:space="preserve"> and how </w:t>
      </w:r>
      <w:r w:rsidR="007A67A1">
        <w:t xml:space="preserve">to </w:t>
      </w:r>
      <w:r>
        <w:t>manage the</w:t>
      </w:r>
      <w:r w:rsidR="0061693C">
        <w:t xml:space="preserve"> </w:t>
      </w:r>
      <w:r w:rsidR="00E66753">
        <w:t>H</w:t>
      </w:r>
      <w:r w:rsidR="0061693C">
        <w:t xml:space="preserve">azardous </w:t>
      </w:r>
      <w:r>
        <w:t>Chemical</w:t>
      </w:r>
      <w:r w:rsidR="0061693C">
        <w:t xml:space="preserve"> in the workplace. </w:t>
      </w:r>
      <w:r w:rsidR="00B51631">
        <w:t xml:space="preserve"> For Hazardous Chemicals, SDSs </w:t>
      </w:r>
      <w:r w:rsidR="005D3E83">
        <w:t>shall</w:t>
      </w:r>
      <w:r w:rsidR="00B51631">
        <w:t xml:space="preserve"> follow the </w:t>
      </w:r>
      <w:r w:rsidR="00B51631" w:rsidRPr="005D3E83">
        <w:t>code of practice</w:t>
      </w:r>
      <w:r w:rsidR="005D3E83" w:rsidRPr="005D3E83">
        <w:t xml:space="preserve"> approved under section 274 of the </w:t>
      </w:r>
      <w:r w:rsidR="005D3E83">
        <w:rPr>
          <w:i/>
        </w:rPr>
        <w:t xml:space="preserve">Work Health and Safety Act 2011 </w:t>
      </w:r>
      <w:r w:rsidR="005D3E83" w:rsidRPr="005D3E83">
        <w:t>(</w:t>
      </w:r>
      <w:proofErr w:type="spellStart"/>
      <w:r w:rsidR="005D3E83" w:rsidRPr="005D3E83">
        <w:t>Cth</w:t>
      </w:r>
      <w:proofErr w:type="spellEnd"/>
      <w:r w:rsidR="005D3E83" w:rsidRPr="005D3E83">
        <w:t>) titled</w:t>
      </w:r>
      <w:r w:rsidR="00B51631" w:rsidRPr="005D3E83">
        <w:t xml:space="preserve"> </w:t>
      </w:r>
      <w:r w:rsidR="00B51631" w:rsidRPr="00B51631">
        <w:rPr>
          <w:i/>
        </w:rPr>
        <w:t>Preparation of Safety Data Sheets for Hazardous Chemicals</w:t>
      </w:r>
      <w:r w:rsidR="005D3E83" w:rsidRPr="005D3E83">
        <w:t xml:space="preserve"> (</w:t>
      </w:r>
      <w:r w:rsidR="005D3E83">
        <w:t xml:space="preserve">hereafter referred to as </w:t>
      </w:r>
      <w:r w:rsidR="00A757BF">
        <w:t>‘</w:t>
      </w:r>
      <w:r w:rsidR="005D3E83">
        <w:t xml:space="preserve">approved SDS </w:t>
      </w:r>
      <w:r w:rsidR="005D3E83" w:rsidRPr="005D3E83">
        <w:t>code of practice</w:t>
      </w:r>
      <w:r w:rsidR="00A757BF">
        <w:t>’</w:t>
      </w:r>
      <w:r w:rsidR="005D3E83">
        <w:t>)</w:t>
      </w:r>
      <w:r w:rsidR="00B51631" w:rsidRPr="00B51631">
        <w:t>.</w:t>
      </w:r>
      <w:r w:rsidR="00B51631">
        <w:rPr>
          <w:i/>
        </w:rPr>
        <w:t xml:space="preserve">  </w:t>
      </w:r>
      <w:r w:rsidR="00B51631">
        <w:t xml:space="preserve">In addition, </w:t>
      </w:r>
      <w:r>
        <w:t>SDSs are used by Defence</w:t>
      </w:r>
      <w:r w:rsidR="00394257">
        <w:t xml:space="preserve"> to </w:t>
      </w:r>
      <w:r w:rsidR="00C446C0">
        <w:t>document</w:t>
      </w:r>
      <w:r w:rsidR="00394257">
        <w:t xml:space="preserve"> </w:t>
      </w:r>
      <w:r w:rsidR="0005338D">
        <w:t>the properties</w:t>
      </w:r>
      <w:r w:rsidR="00394257">
        <w:t xml:space="preserve"> of Ozone Depleting Substances (ODS</w:t>
      </w:r>
      <w:r w:rsidR="0022450B">
        <w:t>s</w:t>
      </w:r>
      <w:r>
        <w:t xml:space="preserve">), </w:t>
      </w:r>
      <w:r w:rsidR="00394257">
        <w:t>Synthetic Greenhouse Gases (SGG</w:t>
      </w:r>
      <w:r w:rsidR="0022450B">
        <w:t>s</w:t>
      </w:r>
      <w:r w:rsidR="00394257">
        <w:t>)</w:t>
      </w:r>
      <w:r>
        <w:t xml:space="preserve"> and Dangerous Goods that are not </w:t>
      </w:r>
      <w:r w:rsidR="00B51631">
        <w:t xml:space="preserve">also </w:t>
      </w:r>
      <w:r>
        <w:t>classified as Hazardous Chemicals</w:t>
      </w:r>
      <w:r w:rsidR="00394257">
        <w:t>.</w:t>
      </w:r>
    </w:p>
    <w:p w:rsidR="0061693C" w:rsidRDefault="0061693C" w:rsidP="00FE6A41">
      <w:pPr>
        <w:pStyle w:val="SOWHL1-ASDEFCON"/>
      </w:pPr>
      <w:r>
        <w:t>INTER-RELATIONSHIPS</w:t>
      </w:r>
    </w:p>
    <w:p w:rsidR="0061693C" w:rsidRDefault="00E568BD" w:rsidP="00FE6A41">
      <w:pPr>
        <w:pStyle w:val="SOWTL2-ASDEFCON"/>
      </w:pPr>
      <w:r w:rsidRPr="001263F5">
        <w:t xml:space="preserve">The SDS inter-relates with the </w:t>
      </w:r>
      <w:r w:rsidR="000033C7">
        <w:t>following data items</w:t>
      </w:r>
      <w:r w:rsidR="00DD6AB4">
        <w:t>, or annex to the Statement of Work</w:t>
      </w:r>
      <w:r w:rsidR="00A84B6F">
        <w:t xml:space="preserve"> (SOW), where these data items or annexes </w:t>
      </w:r>
      <w:r w:rsidR="000033C7">
        <w:t>are required under the Contract:</w:t>
      </w:r>
    </w:p>
    <w:p w:rsidR="00EB2038" w:rsidRDefault="00EB2038" w:rsidP="00A84B6F">
      <w:pPr>
        <w:pStyle w:val="SOWSubL1-ASDEFCON"/>
      </w:pPr>
      <w:r>
        <w:t>the Health and Safety Management Plan</w:t>
      </w:r>
      <w:r w:rsidR="006E1251">
        <w:t>, Project Management Plan or Support Services Mana</w:t>
      </w:r>
      <w:r>
        <w:t>gement Plan,</w:t>
      </w:r>
      <w:r w:rsidR="006E1251">
        <w:t xml:space="preserve"> </w:t>
      </w:r>
      <w:r>
        <w:t>as applicable</w:t>
      </w:r>
      <w:r w:rsidRPr="001263F5" w:rsidDel="009E639A">
        <w:t xml:space="preserve"> </w:t>
      </w:r>
      <w:r>
        <w:t xml:space="preserve">to the </w:t>
      </w:r>
      <w:r w:rsidR="006E1251">
        <w:t xml:space="preserve">Contract for </w:t>
      </w:r>
      <w:r w:rsidR="00A84B6F">
        <w:t xml:space="preserve">the purposes of </w:t>
      </w:r>
      <w:r>
        <w:t>recording Approved Substances; and</w:t>
      </w:r>
    </w:p>
    <w:p w:rsidR="00EB2038" w:rsidRDefault="00EB2038" w:rsidP="00A84B6F">
      <w:pPr>
        <w:pStyle w:val="SOWSubL1-ASDEFCON"/>
      </w:pPr>
      <w:r>
        <w:t xml:space="preserve">problematic </w:t>
      </w:r>
      <w:r w:rsidR="006E1251" w:rsidRPr="001941A3">
        <w:t xml:space="preserve">substances </w:t>
      </w:r>
      <w:r w:rsidRPr="001941A3">
        <w:t xml:space="preserve">and </w:t>
      </w:r>
      <w:r>
        <w:t>problematic sources in supplies</w:t>
      </w:r>
      <w:r w:rsidR="00A84B6F">
        <w:t xml:space="preserve"> (SOW annex);</w:t>
      </w:r>
    </w:p>
    <w:p w:rsidR="00DD6AB4" w:rsidRDefault="00DD6AB4" w:rsidP="00A84B6F">
      <w:pPr>
        <w:pStyle w:val="SOWSubL1-ASDEFCON"/>
      </w:pPr>
      <w:r>
        <w:t xml:space="preserve">Hazard Analysis Reports and </w:t>
      </w:r>
      <w:r w:rsidR="00EB2038">
        <w:t>Hazard Log</w:t>
      </w:r>
      <w:r>
        <w:t>; and</w:t>
      </w:r>
    </w:p>
    <w:p w:rsidR="00EB2038" w:rsidRPr="00C425A2" w:rsidRDefault="00DD6AB4" w:rsidP="00A84B6F">
      <w:pPr>
        <w:pStyle w:val="SOWSubL1-ASDEFCON"/>
      </w:pPr>
      <w:r>
        <w:t>Safety Case Report or Materiel Safety Assessment, as applicable</w:t>
      </w:r>
      <w:r w:rsidR="00EB2038">
        <w:t>.</w:t>
      </w:r>
    </w:p>
    <w:p w:rsidR="0061693C" w:rsidRDefault="0061693C" w:rsidP="00FE6A41">
      <w:pPr>
        <w:pStyle w:val="SOWHL1-ASDEFCON"/>
      </w:pPr>
      <w:r>
        <w:t>APPLICABLE DOCUMENTS</w:t>
      </w:r>
    </w:p>
    <w:p w:rsidR="007A67A1" w:rsidRPr="007A67A1" w:rsidRDefault="007A67A1" w:rsidP="00FE6A41">
      <w:pPr>
        <w:pStyle w:val="SOWTL2-ASDEFCON"/>
      </w:pPr>
      <w:r>
        <w:t>The following document forms a part of this DID to the extent specified herein:</w:t>
      </w:r>
    </w:p>
    <w:tbl>
      <w:tblPr>
        <w:tblW w:w="0" w:type="auto"/>
        <w:tblInd w:w="1242" w:type="dxa"/>
        <w:tblLayout w:type="fixed"/>
        <w:tblLook w:val="0000" w:firstRow="0" w:lastRow="0" w:firstColumn="0" w:lastColumn="0" w:noHBand="0" w:noVBand="0"/>
      </w:tblPr>
      <w:tblGrid>
        <w:gridCol w:w="2410"/>
        <w:gridCol w:w="5506"/>
      </w:tblGrid>
      <w:tr w:rsidR="0061693C" w:rsidTr="009E66B8">
        <w:tc>
          <w:tcPr>
            <w:tcW w:w="2410" w:type="dxa"/>
          </w:tcPr>
          <w:p w:rsidR="0061693C" w:rsidRPr="00D63CC8" w:rsidRDefault="002739B5" w:rsidP="00FE6A41">
            <w:pPr>
              <w:pStyle w:val="Table10ptText-ASDEFCON"/>
              <w:rPr>
                <w:i/>
              </w:rPr>
            </w:pPr>
            <w:r>
              <w:t xml:space="preserve">approved </w:t>
            </w:r>
            <w:r w:rsidR="00730F48">
              <w:t xml:space="preserve">SDS </w:t>
            </w:r>
            <w:r w:rsidR="00730F48" w:rsidRPr="005D3E83">
              <w:t>code of practice</w:t>
            </w:r>
            <w:r w:rsidR="00730F48" w:rsidRPr="00D63CC8" w:rsidDel="00730F48">
              <w:rPr>
                <w:i/>
              </w:rPr>
              <w:t xml:space="preserve"> </w:t>
            </w:r>
          </w:p>
        </w:tc>
        <w:tc>
          <w:tcPr>
            <w:tcW w:w="5506" w:type="dxa"/>
          </w:tcPr>
          <w:p w:rsidR="0061693C" w:rsidRPr="00D63CC8" w:rsidRDefault="00730F48" w:rsidP="00FE6A41">
            <w:pPr>
              <w:pStyle w:val="Table10ptText-ASDEFCON"/>
            </w:pPr>
            <w:r w:rsidRPr="00D63CC8">
              <w:t>code of practice</w:t>
            </w:r>
            <w:r w:rsidRPr="00C446C0">
              <w:t xml:space="preserve"> approved under section 274 of the</w:t>
            </w:r>
            <w:r w:rsidRPr="005D3E83">
              <w:t xml:space="preserve"> </w:t>
            </w:r>
            <w:r w:rsidRPr="00FF1E55">
              <w:t>Work Health and Safety Act 2011</w:t>
            </w:r>
            <w:r w:rsidRPr="005D3E83">
              <w:t xml:space="preserve"> (</w:t>
            </w:r>
            <w:proofErr w:type="spellStart"/>
            <w:r w:rsidRPr="005D3E83">
              <w:t>Cth</w:t>
            </w:r>
            <w:proofErr w:type="spellEnd"/>
            <w:r w:rsidRPr="005D3E83">
              <w:t>)</w:t>
            </w:r>
            <w:r>
              <w:t xml:space="preserve"> titled </w:t>
            </w:r>
            <w:r w:rsidR="0061693C" w:rsidRPr="00C46955">
              <w:t>Preparation of Safety Data Sheets</w:t>
            </w:r>
            <w:r w:rsidR="003A5763" w:rsidRPr="00C46955">
              <w:t xml:space="preserve"> </w:t>
            </w:r>
            <w:r w:rsidR="00AC3375" w:rsidRPr="00C46955">
              <w:t>for Hazardous Chemicals</w:t>
            </w:r>
            <w:r w:rsidR="00B51631">
              <w:t>.</w:t>
            </w:r>
          </w:p>
        </w:tc>
      </w:tr>
      <w:tr w:rsidR="00B83790" w:rsidTr="009E66B8">
        <w:tc>
          <w:tcPr>
            <w:tcW w:w="2410" w:type="dxa"/>
          </w:tcPr>
          <w:p w:rsidR="00B83790" w:rsidRDefault="00B83790" w:rsidP="00FE6A41">
            <w:pPr>
              <w:pStyle w:val="Table10ptText-ASDEFCON"/>
            </w:pPr>
            <w:r w:rsidRPr="009D0ACA">
              <w:t>GHS</w:t>
            </w:r>
            <w:r w:rsidR="00184F32" w:rsidRPr="009D0ACA">
              <w:t xml:space="preserve"> as </w:t>
            </w:r>
            <w:r w:rsidR="009976DC">
              <w:t xml:space="preserve">defined in </w:t>
            </w:r>
            <w:proofErr w:type="spellStart"/>
            <w:r w:rsidR="009976DC">
              <w:t>subregulation</w:t>
            </w:r>
            <w:proofErr w:type="spellEnd"/>
            <w:r w:rsidR="009976DC">
              <w:t xml:space="preserve"> 5(1) of the </w:t>
            </w:r>
            <w:r w:rsidR="009976DC" w:rsidRPr="00FF1E55">
              <w:rPr>
                <w:i/>
              </w:rPr>
              <w:t>Work Health and Safety Regulations 2011</w:t>
            </w:r>
            <w:r w:rsidR="009976DC">
              <w:t xml:space="preserve"> (</w:t>
            </w:r>
            <w:proofErr w:type="spellStart"/>
            <w:r w:rsidR="009976DC">
              <w:t>Cth</w:t>
            </w:r>
            <w:proofErr w:type="spellEnd"/>
            <w:r w:rsidR="009976DC">
              <w:t>)</w:t>
            </w:r>
          </w:p>
        </w:tc>
        <w:tc>
          <w:tcPr>
            <w:tcW w:w="5506" w:type="dxa"/>
          </w:tcPr>
          <w:p w:rsidR="00B83790" w:rsidRPr="009976DC" w:rsidRDefault="009976DC" w:rsidP="00E15D3E">
            <w:pPr>
              <w:pStyle w:val="Table10ptText-ASDEFCON"/>
            </w:pPr>
            <w:r w:rsidRPr="002739B5">
              <w:rPr>
                <w:i/>
              </w:rPr>
              <w:t>Globally Harmonised System of Classification and Labelling of Chemicals</w:t>
            </w:r>
            <w:r w:rsidRPr="009976DC">
              <w:t xml:space="preserve">, </w:t>
            </w:r>
            <w:r w:rsidR="00E15D3E">
              <w:t>Seventh</w:t>
            </w:r>
            <w:r w:rsidR="00E15D3E" w:rsidRPr="009976DC">
              <w:t xml:space="preserve"> </w:t>
            </w:r>
            <w:r w:rsidRPr="009976DC">
              <w:t>revised edition, published</w:t>
            </w:r>
            <w:r>
              <w:t xml:space="preserve"> </w:t>
            </w:r>
            <w:r w:rsidRPr="009976DC">
              <w:t>by the United Nations as modified under Schedule 6</w:t>
            </w:r>
            <w:r>
              <w:t xml:space="preserve"> of the </w:t>
            </w:r>
            <w:r w:rsidRPr="00C46955">
              <w:t>Work Health and Safety Regulations 2011</w:t>
            </w:r>
            <w:r>
              <w:t xml:space="preserve"> (</w:t>
            </w:r>
            <w:proofErr w:type="spellStart"/>
            <w:r>
              <w:t>Cth</w:t>
            </w:r>
            <w:proofErr w:type="spellEnd"/>
            <w:r>
              <w:t>).</w:t>
            </w:r>
          </w:p>
        </w:tc>
      </w:tr>
    </w:tbl>
    <w:p w:rsidR="0061693C" w:rsidRDefault="0061693C" w:rsidP="00FE6A41">
      <w:pPr>
        <w:pStyle w:val="SOWHL1-ASDEFCON"/>
      </w:pPr>
      <w:r>
        <w:t>Preparation Instructions</w:t>
      </w:r>
    </w:p>
    <w:p w:rsidR="0061693C" w:rsidRDefault="0061693C" w:rsidP="00FE6A41">
      <w:pPr>
        <w:pStyle w:val="SOWHL2-ASDEFCON"/>
      </w:pPr>
      <w:r>
        <w:t>Generic Format and Content</w:t>
      </w:r>
    </w:p>
    <w:p w:rsidR="0061693C" w:rsidRDefault="0061693C" w:rsidP="00FE6A41">
      <w:pPr>
        <w:pStyle w:val="SOWTL3-ASDEFCON"/>
      </w:pPr>
      <w:r>
        <w:t xml:space="preserve">The data item shall comply with the general format, content and preparation instructions provided in </w:t>
      </w:r>
      <w:r w:rsidR="00B51631">
        <w:t xml:space="preserve">the </w:t>
      </w:r>
      <w:r w:rsidR="00DD6AB4">
        <w:t xml:space="preserve">approved </w:t>
      </w:r>
      <w:r w:rsidR="005D3E83">
        <w:t xml:space="preserve">SDS </w:t>
      </w:r>
      <w:r w:rsidR="00434FD4" w:rsidRPr="005D3E83">
        <w:t>code of practice</w:t>
      </w:r>
      <w:r>
        <w:t>.</w:t>
      </w:r>
    </w:p>
    <w:p w:rsidR="0061693C" w:rsidRDefault="0061693C" w:rsidP="00FE6A41">
      <w:pPr>
        <w:pStyle w:val="Note-ASDEFCON"/>
      </w:pPr>
      <w:r>
        <w:t>Note:</w:t>
      </w:r>
      <w:r w:rsidR="00A757BF">
        <w:t xml:space="preserve"> </w:t>
      </w:r>
      <w:r>
        <w:t xml:space="preserve"> </w:t>
      </w:r>
      <w:r w:rsidR="00C25092">
        <w:t xml:space="preserve">The </w:t>
      </w:r>
      <w:r w:rsidR="005D3E83">
        <w:t xml:space="preserve">approved SDS </w:t>
      </w:r>
      <w:r w:rsidR="009B29BD" w:rsidRPr="00103E25">
        <w:t xml:space="preserve">code of practice </w:t>
      </w:r>
      <w:r w:rsidR="005D3E83">
        <w:t>acknowledges that</w:t>
      </w:r>
      <w:r>
        <w:t xml:space="preserve"> certain </w:t>
      </w:r>
      <w:r w:rsidR="005D3E83">
        <w:t>international</w:t>
      </w:r>
      <w:r>
        <w:t xml:space="preserve"> SDS formats provide an equivalent standard of information to that </w:t>
      </w:r>
      <w:r w:rsidR="005D3E83">
        <w:t>required by the approved SDS</w:t>
      </w:r>
      <w:r>
        <w:t xml:space="preserve"> code of practice.  The intention is to permit some flexibility in the format of a SDS, while ensuring that the information </w:t>
      </w:r>
      <w:r w:rsidR="007D6D3E">
        <w:t xml:space="preserve">contained in the SDS </w:t>
      </w:r>
      <w:r w:rsidR="005D3E83">
        <w:t>meets the requirements of the approved S</w:t>
      </w:r>
      <w:r w:rsidR="00FE6A41">
        <w:t xml:space="preserve">DS code of </w:t>
      </w:r>
      <w:r w:rsidR="005D3E83">
        <w:t>practice</w:t>
      </w:r>
      <w:r>
        <w:t>.</w:t>
      </w:r>
    </w:p>
    <w:p w:rsidR="0061693C" w:rsidRDefault="0061693C" w:rsidP="00FE6A41">
      <w:pPr>
        <w:pStyle w:val="SOWTL3-ASDEFCON"/>
      </w:pPr>
      <w:r>
        <w:t>Non</w:t>
      </w:r>
      <w:r w:rsidR="007A67A1">
        <w:t>-</w:t>
      </w:r>
      <w:r>
        <w:t>generic information may be submitted in the Contractor’s preferred format.</w:t>
      </w:r>
    </w:p>
    <w:p w:rsidR="0061693C" w:rsidRDefault="00EA2D4A" w:rsidP="00FE6A41">
      <w:pPr>
        <w:pStyle w:val="SOWHL2-ASDEFCON"/>
      </w:pPr>
      <w:r>
        <w:t>Specific Content</w:t>
      </w:r>
    </w:p>
    <w:p w:rsidR="0061693C" w:rsidRPr="000F233F" w:rsidRDefault="0061693C" w:rsidP="00FE6A41">
      <w:pPr>
        <w:pStyle w:val="SOWTL3-ASDEFCON"/>
        <w:rPr>
          <w:sz w:val="24"/>
        </w:rPr>
      </w:pPr>
      <w:r>
        <w:t>The content of the SDS</w:t>
      </w:r>
      <w:r w:rsidR="00B51631">
        <w:t xml:space="preserve"> </w:t>
      </w:r>
      <w:bookmarkStart w:id="0" w:name="_GoBack"/>
      <w:bookmarkEnd w:id="0"/>
      <w:r w:rsidR="00B51631">
        <w:t>for Hazardous Chemicals</w:t>
      </w:r>
      <w:r w:rsidR="005D3E83">
        <w:t xml:space="preserve"> </w:t>
      </w:r>
      <w:r>
        <w:t>shall follow the requirement</w:t>
      </w:r>
      <w:r w:rsidR="007A67A1">
        <w:t>s</w:t>
      </w:r>
      <w:r>
        <w:t xml:space="preserve"> of </w:t>
      </w:r>
      <w:r w:rsidR="00184F32">
        <w:t xml:space="preserve">the </w:t>
      </w:r>
      <w:r w:rsidR="009976DC">
        <w:t xml:space="preserve">approved SDS </w:t>
      </w:r>
      <w:r w:rsidR="009E66B8" w:rsidRPr="009976DC">
        <w:t>code of practice</w:t>
      </w:r>
      <w:r w:rsidR="007A67A1">
        <w:t>,</w:t>
      </w:r>
      <w:r>
        <w:t xml:space="preserve"> which is available from the following</w:t>
      </w:r>
      <w:r w:rsidR="007A67A1">
        <w:t xml:space="preserve"> internet address</w:t>
      </w:r>
      <w:r>
        <w:t>:</w:t>
      </w:r>
    </w:p>
    <w:p w:rsidR="00AC3375" w:rsidRDefault="00EA2D4A" w:rsidP="00FE6A41">
      <w:pPr>
        <w:pStyle w:val="SOWTL3NONUM-ASDEFCON"/>
      </w:pPr>
      <w:hyperlink r:id="rId7" w:history="1">
        <w:r w:rsidR="00AC3375" w:rsidRPr="000F4859">
          <w:rPr>
            <w:rStyle w:val="Hyperlink"/>
          </w:rPr>
          <w:t>http://safeworkaustralia.gov.au/</w:t>
        </w:r>
      </w:hyperlink>
    </w:p>
    <w:p w:rsidR="00622EEB" w:rsidRDefault="00622EEB" w:rsidP="00FE6A41">
      <w:pPr>
        <w:pStyle w:val="SOWTL3-ASDEFCON"/>
      </w:pPr>
      <w:r>
        <w:lastRenderedPageBreak/>
        <w:t xml:space="preserve">Where the Contract </w:t>
      </w:r>
      <w:r w:rsidR="00C25092">
        <w:t>require</w:t>
      </w:r>
      <w:r w:rsidR="00B83790">
        <w:t>s</w:t>
      </w:r>
      <w:r>
        <w:t xml:space="preserve"> </w:t>
      </w:r>
      <w:r w:rsidR="00356B5F">
        <w:t xml:space="preserve">an SDS for an </w:t>
      </w:r>
      <w:r w:rsidR="00394257">
        <w:t>ODS</w:t>
      </w:r>
      <w:r>
        <w:t xml:space="preserve">, </w:t>
      </w:r>
      <w:r w:rsidR="00394257">
        <w:t>SGG</w:t>
      </w:r>
      <w:r>
        <w:t xml:space="preserve"> or Dangerou</w:t>
      </w:r>
      <w:r w:rsidR="003F51A1">
        <w:t>s Good</w:t>
      </w:r>
      <w:r w:rsidR="00184F32">
        <w:t>,</w:t>
      </w:r>
      <w:r w:rsidR="00B83790">
        <w:t xml:space="preserve"> </w:t>
      </w:r>
      <w:r w:rsidR="006A5BE3">
        <w:t>which</w:t>
      </w:r>
      <w:r w:rsidR="00184F32">
        <w:t xml:space="preserve"> is not also a Hazardous Chemical</w:t>
      </w:r>
      <w:r w:rsidR="008164FA">
        <w:t>,</w:t>
      </w:r>
      <w:r w:rsidR="00184F32">
        <w:t xml:space="preserve"> and</w:t>
      </w:r>
      <w:r w:rsidR="006A5BE3">
        <w:t xml:space="preserve"> </w:t>
      </w:r>
      <w:r w:rsidR="00184F32">
        <w:t xml:space="preserve">therefore not </w:t>
      </w:r>
      <w:r w:rsidR="0028453E">
        <w:t>required</w:t>
      </w:r>
      <w:r w:rsidR="00D74EE4">
        <w:t xml:space="preserve"> </w:t>
      </w:r>
      <w:r w:rsidR="003B55B1">
        <w:t xml:space="preserve">under </w:t>
      </w:r>
      <w:r w:rsidR="00D74EE4">
        <w:t xml:space="preserve">the </w:t>
      </w:r>
      <w:r w:rsidR="00D74EE4" w:rsidRPr="00742234">
        <w:rPr>
          <w:i/>
        </w:rPr>
        <w:t>code of practice</w:t>
      </w:r>
      <w:r w:rsidR="00D74EE4">
        <w:t>,</w:t>
      </w:r>
      <w:r w:rsidR="00C425A2">
        <w:t xml:space="preserve"> </w:t>
      </w:r>
      <w:r>
        <w:t xml:space="preserve">the </w:t>
      </w:r>
      <w:r w:rsidR="003F51A1">
        <w:t>SDS shall</w:t>
      </w:r>
      <w:r>
        <w:t xml:space="preserve"> </w:t>
      </w:r>
      <w:r w:rsidR="00C25092">
        <w:t xml:space="preserve">include </w:t>
      </w:r>
      <w:r>
        <w:t xml:space="preserve">information </w:t>
      </w:r>
      <w:r w:rsidR="003B55B1">
        <w:t>that relates</w:t>
      </w:r>
      <w:r w:rsidR="00184F32">
        <w:t xml:space="preserve"> to</w:t>
      </w:r>
      <w:r w:rsidR="0028453E">
        <w:t xml:space="preserve"> the </w:t>
      </w:r>
      <w:r w:rsidR="00184F32">
        <w:t xml:space="preserve">applicable </w:t>
      </w:r>
      <w:r w:rsidR="006F1DE5">
        <w:t>regulatory requirements</w:t>
      </w:r>
      <w:r w:rsidR="0028453E">
        <w:t xml:space="preserve"> </w:t>
      </w:r>
      <w:r>
        <w:t>for th</w:t>
      </w:r>
      <w:r w:rsidR="003F51A1">
        <w:t>os</w:t>
      </w:r>
      <w:r>
        <w:t xml:space="preserve">e </w:t>
      </w:r>
      <w:r w:rsidR="000A0307">
        <w:t xml:space="preserve">SDS </w:t>
      </w:r>
      <w:r>
        <w:t>sections that remain</w:t>
      </w:r>
      <w:r w:rsidR="00184F32">
        <w:t xml:space="preserve"> valid</w:t>
      </w:r>
      <w:r>
        <w:t>.</w:t>
      </w:r>
    </w:p>
    <w:p w:rsidR="00D216E3" w:rsidRDefault="002007C9" w:rsidP="00FE6A41">
      <w:pPr>
        <w:pStyle w:val="Note-ASDEFCON"/>
      </w:pPr>
      <w:bookmarkStart w:id="1" w:name="_Ref315336235"/>
      <w:r>
        <w:t>Note:</w:t>
      </w:r>
      <w:r w:rsidR="00A757BF">
        <w:t xml:space="preserve"> </w:t>
      </w:r>
      <w:r>
        <w:t xml:space="preserve"> </w:t>
      </w:r>
      <w:r w:rsidR="00184F32">
        <w:t xml:space="preserve">If </w:t>
      </w:r>
      <w:r w:rsidR="003B55B1">
        <w:t>an</w:t>
      </w:r>
      <w:r w:rsidR="00184F32">
        <w:t xml:space="preserve"> </w:t>
      </w:r>
      <w:r w:rsidR="00897DE8">
        <w:t xml:space="preserve">SDS </w:t>
      </w:r>
      <w:r w:rsidR="004248B7">
        <w:t>exists</w:t>
      </w:r>
      <w:r w:rsidR="006B6572">
        <w:t xml:space="preserve"> </w:t>
      </w:r>
      <w:r w:rsidR="00181FEB">
        <w:t>with</w:t>
      </w:r>
      <w:r w:rsidR="00897DE8">
        <w:t xml:space="preserve">in </w:t>
      </w:r>
      <w:r w:rsidR="006B6572">
        <w:t xml:space="preserve">the </w:t>
      </w:r>
      <w:r w:rsidR="00184F32">
        <w:t xml:space="preserve">Australian </w:t>
      </w:r>
      <w:proofErr w:type="spellStart"/>
      <w:r w:rsidR="00897DE8" w:rsidRPr="008809FF">
        <w:t>ChemAlert</w:t>
      </w:r>
      <w:proofErr w:type="spellEnd"/>
      <w:r w:rsidR="00897DE8">
        <w:t xml:space="preserve"> database</w:t>
      </w:r>
      <w:r w:rsidR="006B6572">
        <w:t xml:space="preserve">, then </w:t>
      </w:r>
      <w:r w:rsidR="0005338D">
        <w:t xml:space="preserve">the requirements of this DID </w:t>
      </w:r>
      <w:r>
        <w:t>may</w:t>
      </w:r>
      <w:r w:rsidR="0005338D">
        <w:t xml:space="preserve"> be met if</w:t>
      </w:r>
      <w:r w:rsidR="006B6572">
        <w:t xml:space="preserve"> </w:t>
      </w:r>
      <w:r w:rsidR="004248B7">
        <w:t>th</w:t>
      </w:r>
      <w:r w:rsidR="003B55B1">
        <w:t>e ap</w:t>
      </w:r>
      <w:r w:rsidR="00550C43">
        <w:t>p</w:t>
      </w:r>
      <w:r w:rsidR="003B55B1">
        <w:t>licable</w:t>
      </w:r>
      <w:r w:rsidR="004248B7">
        <w:t xml:space="preserve"> SDS is identified </w:t>
      </w:r>
      <w:r w:rsidR="00C446C0">
        <w:t xml:space="preserve">to the Commonwealth Representative </w:t>
      </w:r>
      <w:r w:rsidR="0005338D">
        <w:t>by its unique record within that</w:t>
      </w:r>
      <w:r w:rsidR="00C63907">
        <w:t xml:space="preserve"> database</w:t>
      </w:r>
      <w:r w:rsidR="0005338D">
        <w:t>.</w:t>
      </w:r>
      <w:bookmarkEnd w:id="1"/>
    </w:p>
    <w:sectPr w:rsidR="00D216E3" w:rsidSect="0096507E">
      <w:headerReference w:type="even" r:id="rId8"/>
      <w:headerReference w:type="default" r:id="rId9"/>
      <w:footerReference w:type="default" r:id="rId10"/>
      <w:pgSz w:w="11907" w:h="16834" w:code="9"/>
      <w:pgMar w:top="1418" w:right="1418" w:bottom="851" w:left="1418" w:header="567" w:footer="284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18A" w:rsidRDefault="00B4218A">
      <w:r>
        <w:separator/>
      </w:r>
    </w:p>
  </w:endnote>
  <w:endnote w:type="continuationSeparator" w:id="0">
    <w:p w:rsidR="00B4218A" w:rsidRDefault="00B42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5564B5" w:rsidTr="00DB3FC9">
      <w:tc>
        <w:tcPr>
          <w:tcW w:w="2500" w:type="pct"/>
        </w:tcPr>
        <w:p w:rsidR="005564B5" w:rsidRDefault="005564B5" w:rsidP="00DB3FC9">
          <w:pPr>
            <w:pStyle w:val="ASDEFCONHeaderFooterLeft"/>
          </w:pPr>
        </w:p>
      </w:tc>
      <w:tc>
        <w:tcPr>
          <w:tcW w:w="2500" w:type="pct"/>
        </w:tcPr>
        <w:p w:rsidR="005564B5" w:rsidRPr="003C483C" w:rsidRDefault="005564B5" w:rsidP="00DB3FC9">
          <w:pPr>
            <w:pStyle w:val="ASDEFCONHeaderFooterRight"/>
            <w:rPr>
              <w:szCs w:val="16"/>
            </w:rPr>
          </w:pPr>
          <w:r w:rsidRPr="003C483C">
            <w:rPr>
              <w:rStyle w:val="PageNumber"/>
              <w:color w:val="auto"/>
              <w:szCs w:val="16"/>
            </w:rPr>
            <w:fldChar w:fldCharType="begin"/>
          </w:r>
          <w:r w:rsidRPr="003C483C">
            <w:rPr>
              <w:rStyle w:val="PageNumber"/>
              <w:color w:val="auto"/>
              <w:szCs w:val="16"/>
            </w:rPr>
            <w:instrText xml:space="preserve"> PAGE </w:instrText>
          </w:r>
          <w:r w:rsidRPr="003C483C">
            <w:rPr>
              <w:rStyle w:val="PageNumber"/>
              <w:color w:val="auto"/>
              <w:szCs w:val="16"/>
            </w:rPr>
            <w:fldChar w:fldCharType="separate"/>
          </w:r>
          <w:r w:rsidR="00EA2D4A">
            <w:rPr>
              <w:rStyle w:val="PageNumber"/>
              <w:noProof/>
              <w:color w:val="auto"/>
              <w:szCs w:val="16"/>
            </w:rPr>
            <w:t>2</w:t>
          </w:r>
          <w:r w:rsidRPr="003C483C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5564B5" w:rsidTr="00DB3FC9">
      <w:tc>
        <w:tcPr>
          <w:tcW w:w="5000" w:type="pct"/>
          <w:gridSpan w:val="2"/>
        </w:tcPr>
        <w:p w:rsidR="005564B5" w:rsidRDefault="00C63889" w:rsidP="00FE6A41">
          <w:pPr>
            <w:pStyle w:val="ASDEFCONHeaderFooterClassification"/>
          </w:pPr>
          <w:fldSimple w:instr=" DOCPROPERTY  Classification  \* MERGEFORMAT ">
            <w:r>
              <w:t>OFFICIAL</w:t>
            </w:r>
          </w:fldSimple>
        </w:p>
      </w:tc>
    </w:tr>
  </w:tbl>
  <w:p w:rsidR="005564B5" w:rsidRPr="00DB3FC9" w:rsidRDefault="005564B5" w:rsidP="00DB3F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18A" w:rsidRDefault="00B4218A">
      <w:r>
        <w:separator/>
      </w:r>
    </w:p>
  </w:footnote>
  <w:footnote w:type="continuationSeparator" w:id="0">
    <w:p w:rsidR="00B4218A" w:rsidRDefault="00B42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4B5" w:rsidRDefault="005564B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63889">
      <w:rPr>
        <w:rStyle w:val="PageNumber"/>
        <w:noProof/>
      </w:rPr>
      <w:t>2</w:t>
    </w:r>
    <w:r>
      <w:rPr>
        <w:rStyle w:val="PageNumber"/>
      </w:rPr>
      <w:fldChar w:fldCharType="end"/>
    </w:r>
  </w:p>
  <w:p w:rsidR="005564B5" w:rsidRDefault="005564B5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5564B5" w:rsidTr="00DB3FC9">
      <w:tc>
        <w:tcPr>
          <w:tcW w:w="5000" w:type="pct"/>
          <w:gridSpan w:val="2"/>
        </w:tcPr>
        <w:p w:rsidR="005564B5" w:rsidRDefault="00C63889" w:rsidP="00FE6A41">
          <w:pPr>
            <w:pStyle w:val="ASDEFCONHeaderFooterClassification"/>
          </w:pPr>
          <w:fldSimple w:instr=" DOCPROPERTY  Classification  \* MERGEFORMAT ">
            <w:r>
              <w:t>OFFICIAL</w:t>
            </w:r>
          </w:fldSimple>
        </w:p>
      </w:tc>
    </w:tr>
    <w:tr w:rsidR="005564B5" w:rsidTr="00DB3FC9">
      <w:tc>
        <w:tcPr>
          <w:tcW w:w="2500" w:type="pct"/>
        </w:tcPr>
        <w:p w:rsidR="005564B5" w:rsidRDefault="00EA2D4A" w:rsidP="00DB3FC9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C63889">
            <w:t>ASDEFCON</w:t>
          </w:r>
          <w:r>
            <w:fldChar w:fldCharType="end"/>
          </w:r>
        </w:p>
      </w:tc>
      <w:tc>
        <w:tcPr>
          <w:tcW w:w="2500" w:type="pct"/>
        </w:tcPr>
        <w:p w:rsidR="005564B5" w:rsidRDefault="00EA2D4A" w:rsidP="00DB3FC9">
          <w:pPr>
            <w:pStyle w:val="ASDEFCONHeaderFooterRight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C63889">
            <w:t>DID-PM-HSE-SDS</w:t>
          </w:r>
          <w:r>
            <w:fldChar w:fldCharType="end"/>
          </w:r>
          <w:r w:rsidR="005564B5">
            <w:t>-</w:t>
          </w:r>
          <w:r>
            <w:fldChar w:fldCharType="begin"/>
          </w:r>
          <w:r>
            <w:instrText xml:space="preserve"> DOCPROPERTY  Version  \* MERGEFORMAT </w:instrText>
          </w:r>
          <w:r>
            <w:fldChar w:fldCharType="separate"/>
          </w:r>
          <w:r w:rsidR="00C63889">
            <w:t>V5.3</w:t>
          </w:r>
          <w:r>
            <w:fldChar w:fldCharType="end"/>
          </w:r>
        </w:p>
      </w:tc>
    </w:tr>
  </w:tbl>
  <w:p w:rsidR="005564B5" w:rsidRPr="00DB3FC9" w:rsidRDefault="005564B5" w:rsidP="00DB3F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4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16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7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7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8"/>
  </w:num>
  <w:num w:numId="7">
    <w:abstractNumId w:val="19"/>
  </w:num>
  <w:num w:numId="8">
    <w:abstractNumId w:val="14"/>
  </w:num>
  <w:num w:numId="9">
    <w:abstractNumId w:val="22"/>
  </w:num>
  <w:num w:numId="10">
    <w:abstractNumId w:val="9"/>
  </w:num>
  <w:num w:numId="11">
    <w:abstractNumId w:val="11"/>
  </w:num>
  <w:num w:numId="12">
    <w:abstractNumId w:val="23"/>
  </w:num>
  <w:num w:numId="13">
    <w:abstractNumId w:val="6"/>
  </w:num>
  <w:num w:numId="14">
    <w:abstractNumId w:val="5"/>
  </w:num>
  <w:num w:numId="15">
    <w:abstractNumId w:val="2"/>
  </w:num>
  <w:num w:numId="16">
    <w:abstractNumId w:val="3"/>
  </w:num>
  <w:num w:numId="17">
    <w:abstractNumId w:val="10"/>
  </w:num>
  <w:num w:numId="18">
    <w:abstractNumId w:val="1"/>
  </w:num>
  <w:num w:numId="19">
    <w:abstractNumId w:val="16"/>
  </w:num>
  <w:num w:numId="20">
    <w:abstractNumId w:val="20"/>
  </w:num>
  <w:num w:numId="21">
    <w:abstractNumId w:val="18"/>
  </w:num>
  <w:num w:numId="22">
    <w:abstractNumId w:val="0"/>
  </w:num>
  <w:num w:numId="23">
    <w:abstractNumId w:val="12"/>
  </w:num>
  <w:num w:numId="24">
    <w:abstractNumId w:val="1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7A1"/>
    <w:rsid w:val="000033C7"/>
    <w:rsid w:val="00043A96"/>
    <w:rsid w:val="0005338D"/>
    <w:rsid w:val="000A0307"/>
    <w:rsid w:val="000E1FBB"/>
    <w:rsid w:val="000F233F"/>
    <w:rsid w:val="00103E25"/>
    <w:rsid w:val="00107CC7"/>
    <w:rsid w:val="001173F0"/>
    <w:rsid w:val="001179C7"/>
    <w:rsid w:val="001263F5"/>
    <w:rsid w:val="00151F33"/>
    <w:rsid w:val="0016742E"/>
    <w:rsid w:val="00173E02"/>
    <w:rsid w:val="00175FF3"/>
    <w:rsid w:val="001762E8"/>
    <w:rsid w:val="00176976"/>
    <w:rsid w:val="00181FEB"/>
    <w:rsid w:val="00184F32"/>
    <w:rsid w:val="001A4160"/>
    <w:rsid w:val="001D4338"/>
    <w:rsid w:val="001F1768"/>
    <w:rsid w:val="002007C9"/>
    <w:rsid w:val="00203113"/>
    <w:rsid w:val="0021725C"/>
    <w:rsid w:val="0022450B"/>
    <w:rsid w:val="0026619A"/>
    <w:rsid w:val="00267AF1"/>
    <w:rsid w:val="002739B5"/>
    <w:rsid w:val="0028453E"/>
    <w:rsid w:val="00296137"/>
    <w:rsid w:val="002A7FDC"/>
    <w:rsid w:val="002C15ED"/>
    <w:rsid w:val="002F4AEE"/>
    <w:rsid w:val="002F5AB4"/>
    <w:rsid w:val="00307C84"/>
    <w:rsid w:val="00317FC2"/>
    <w:rsid w:val="00333359"/>
    <w:rsid w:val="0033695F"/>
    <w:rsid w:val="0034461E"/>
    <w:rsid w:val="00356B5F"/>
    <w:rsid w:val="00366084"/>
    <w:rsid w:val="00367520"/>
    <w:rsid w:val="00371541"/>
    <w:rsid w:val="00384A53"/>
    <w:rsid w:val="003920F1"/>
    <w:rsid w:val="00394257"/>
    <w:rsid w:val="003A5763"/>
    <w:rsid w:val="003B55B1"/>
    <w:rsid w:val="003B7835"/>
    <w:rsid w:val="003C483C"/>
    <w:rsid w:val="003E35C6"/>
    <w:rsid w:val="003F51A1"/>
    <w:rsid w:val="00405230"/>
    <w:rsid w:val="004248B7"/>
    <w:rsid w:val="0042506F"/>
    <w:rsid w:val="00434FD4"/>
    <w:rsid w:val="00454E78"/>
    <w:rsid w:val="004574DE"/>
    <w:rsid w:val="00457645"/>
    <w:rsid w:val="00477F7C"/>
    <w:rsid w:val="00480159"/>
    <w:rsid w:val="0048561F"/>
    <w:rsid w:val="004A6EAD"/>
    <w:rsid w:val="004A77E8"/>
    <w:rsid w:val="004C21D9"/>
    <w:rsid w:val="004E1306"/>
    <w:rsid w:val="004E50FA"/>
    <w:rsid w:val="005120FB"/>
    <w:rsid w:val="00527D16"/>
    <w:rsid w:val="00550C43"/>
    <w:rsid w:val="00552A21"/>
    <w:rsid w:val="005564B5"/>
    <w:rsid w:val="00560C8C"/>
    <w:rsid w:val="005678B8"/>
    <w:rsid w:val="00573CBF"/>
    <w:rsid w:val="00583F37"/>
    <w:rsid w:val="0059385C"/>
    <w:rsid w:val="005B16A9"/>
    <w:rsid w:val="005B1B8D"/>
    <w:rsid w:val="005D1D4B"/>
    <w:rsid w:val="005D3E83"/>
    <w:rsid w:val="005F642E"/>
    <w:rsid w:val="00607767"/>
    <w:rsid w:val="00612702"/>
    <w:rsid w:val="00613AEF"/>
    <w:rsid w:val="0061693C"/>
    <w:rsid w:val="00622EEB"/>
    <w:rsid w:val="00641080"/>
    <w:rsid w:val="00685A0A"/>
    <w:rsid w:val="006A5BE3"/>
    <w:rsid w:val="006B6211"/>
    <w:rsid w:val="006B6572"/>
    <w:rsid w:val="006E1251"/>
    <w:rsid w:val="006F1DE5"/>
    <w:rsid w:val="006F32F9"/>
    <w:rsid w:val="00715FB8"/>
    <w:rsid w:val="00730F48"/>
    <w:rsid w:val="007347E6"/>
    <w:rsid w:val="00742212"/>
    <w:rsid w:val="00745364"/>
    <w:rsid w:val="0074624D"/>
    <w:rsid w:val="007649B9"/>
    <w:rsid w:val="00772A8D"/>
    <w:rsid w:val="007A67A1"/>
    <w:rsid w:val="007D0DED"/>
    <w:rsid w:val="007D6D3E"/>
    <w:rsid w:val="007E1751"/>
    <w:rsid w:val="00811FA0"/>
    <w:rsid w:val="008157F1"/>
    <w:rsid w:val="008164FA"/>
    <w:rsid w:val="00851670"/>
    <w:rsid w:val="00857429"/>
    <w:rsid w:val="00865F8A"/>
    <w:rsid w:val="008809FF"/>
    <w:rsid w:val="00886518"/>
    <w:rsid w:val="008974FB"/>
    <w:rsid w:val="00897DE8"/>
    <w:rsid w:val="008A0CAD"/>
    <w:rsid w:val="008A2DF6"/>
    <w:rsid w:val="008A6013"/>
    <w:rsid w:val="008B137C"/>
    <w:rsid w:val="008E297A"/>
    <w:rsid w:val="00904BEB"/>
    <w:rsid w:val="009409C9"/>
    <w:rsid w:val="0096507E"/>
    <w:rsid w:val="009656A6"/>
    <w:rsid w:val="009717F4"/>
    <w:rsid w:val="00973B5D"/>
    <w:rsid w:val="009976DC"/>
    <w:rsid w:val="009B29BD"/>
    <w:rsid w:val="009D0ACA"/>
    <w:rsid w:val="009E66B8"/>
    <w:rsid w:val="00A25976"/>
    <w:rsid w:val="00A32E42"/>
    <w:rsid w:val="00A420C3"/>
    <w:rsid w:val="00A504E2"/>
    <w:rsid w:val="00A757BF"/>
    <w:rsid w:val="00A84B6F"/>
    <w:rsid w:val="00A92726"/>
    <w:rsid w:val="00A943CC"/>
    <w:rsid w:val="00A95652"/>
    <w:rsid w:val="00AC3375"/>
    <w:rsid w:val="00AD69F5"/>
    <w:rsid w:val="00AE238A"/>
    <w:rsid w:val="00AF2CEB"/>
    <w:rsid w:val="00AF2EEE"/>
    <w:rsid w:val="00AF6810"/>
    <w:rsid w:val="00B4218A"/>
    <w:rsid w:val="00B45AB9"/>
    <w:rsid w:val="00B51631"/>
    <w:rsid w:val="00B627D9"/>
    <w:rsid w:val="00B661F6"/>
    <w:rsid w:val="00B71686"/>
    <w:rsid w:val="00B83790"/>
    <w:rsid w:val="00B83A1A"/>
    <w:rsid w:val="00B87B98"/>
    <w:rsid w:val="00B90304"/>
    <w:rsid w:val="00B97589"/>
    <w:rsid w:val="00BB171B"/>
    <w:rsid w:val="00C25092"/>
    <w:rsid w:val="00C358DB"/>
    <w:rsid w:val="00C40E35"/>
    <w:rsid w:val="00C425A2"/>
    <w:rsid w:val="00C446C0"/>
    <w:rsid w:val="00C46955"/>
    <w:rsid w:val="00C522FA"/>
    <w:rsid w:val="00C63889"/>
    <w:rsid w:val="00C63907"/>
    <w:rsid w:val="00C74074"/>
    <w:rsid w:val="00C97EEE"/>
    <w:rsid w:val="00CA6F36"/>
    <w:rsid w:val="00CA764C"/>
    <w:rsid w:val="00CC09D8"/>
    <w:rsid w:val="00CE2F07"/>
    <w:rsid w:val="00D216E3"/>
    <w:rsid w:val="00D27121"/>
    <w:rsid w:val="00D63CC8"/>
    <w:rsid w:val="00D74EE4"/>
    <w:rsid w:val="00D86A91"/>
    <w:rsid w:val="00D870AA"/>
    <w:rsid w:val="00DB3FC9"/>
    <w:rsid w:val="00DC63AF"/>
    <w:rsid w:val="00DC68F0"/>
    <w:rsid w:val="00DD6AB4"/>
    <w:rsid w:val="00E04905"/>
    <w:rsid w:val="00E05939"/>
    <w:rsid w:val="00E15D3E"/>
    <w:rsid w:val="00E568BD"/>
    <w:rsid w:val="00E66753"/>
    <w:rsid w:val="00E704D9"/>
    <w:rsid w:val="00E809BA"/>
    <w:rsid w:val="00E870AF"/>
    <w:rsid w:val="00E951DC"/>
    <w:rsid w:val="00EA2D4A"/>
    <w:rsid w:val="00EA4682"/>
    <w:rsid w:val="00EB0FFB"/>
    <w:rsid w:val="00EB2038"/>
    <w:rsid w:val="00EC5F46"/>
    <w:rsid w:val="00ED29DE"/>
    <w:rsid w:val="00EE0066"/>
    <w:rsid w:val="00EF5ED0"/>
    <w:rsid w:val="00F04091"/>
    <w:rsid w:val="00F12CE2"/>
    <w:rsid w:val="00F2364C"/>
    <w:rsid w:val="00F65152"/>
    <w:rsid w:val="00F71355"/>
    <w:rsid w:val="00F72BD3"/>
    <w:rsid w:val="00F963B2"/>
    <w:rsid w:val="00FA504E"/>
    <w:rsid w:val="00FE6A41"/>
    <w:rsid w:val="00FF1E55"/>
    <w:rsid w:val="00FF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41292DB8-188F-403D-82E3-760EFD333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2D4A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,1."/>
    <w:basedOn w:val="Normal"/>
    <w:next w:val="Normal"/>
    <w:link w:val="Heading1Char"/>
    <w:qFormat/>
    <w:rsid w:val="00EA2D4A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EA2D4A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link w:val="Heading3Char"/>
    <w:uiPriority w:val="9"/>
    <w:qFormat/>
    <w:rsid w:val="00EA2D4A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h4,h41,h42,h411,h43,h412,h44,h413,h45,h414,h46,h415,h47,h416,h421,h4111,h431,h4121,h441,h4131,h451,h4141,h461,h4151,h48,h417,h422,h4112,h432,h4122,h442,h4132,h452,h4142,h462,h4152,h49,h418,h423,h4113,h433,h4123,h443,h4133,h453,h4143,h463,h4153"/>
    <w:basedOn w:val="Normal"/>
    <w:next w:val="Normal"/>
    <w:link w:val="Heading4Char"/>
    <w:uiPriority w:val="9"/>
    <w:qFormat/>
    <w:rsid w:val="00EA2D4A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i."/>
    <w:basedOn w:val="Normal"/>
    <w:next w:val="Normal"/>
    <w:link w:val="Heading5Char"/>
    <w:qFormat/>
    <w:rsid w:val="0059385C"/>
    <w:pPr>
      <w:numPr>
        <w:ilvl w:val="4"/>
        <w:numId w:val="22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A."/>
    <w:basedOn w:val="Normal"/>
    <w:next w:val="Normal"/>
    <w:link w:val="Heading6Char"/>
    <w:qFormat/>
    <w:rsid w:val="0059385C"/>
    <w:pPr>
      <w:numPr>
        <w:ilvl w:val="5"/>
        <w:numId w:val="22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(i)"/>
    <w:basedOn w:val="Normal"/>
    <w:next w:val="Normal"/>
    <w:link w:val="Heading7Char"/>
    <w:qFormat/>
    <w:rsid w:val="0059385C"/>
    <w:pPr>
      <w:numPr>
        <w:ilvl w:val="6"/>
        <w:numId w:val="22"/>
      </w:numPr>
      <w:spacing w:before="240" w:after="60"/>
      <w:outlineLvl w:val="6"/>
    </w:pPr>
  </w:style>
  <w:style w:type="paragraph" w:styleId="Heading8">
    <w:name w:val="heading 8"/>
    <w:aliases w:val="(A)"/>
    <w:basedOn w:val="Normal"/>
    <w:next w:val="Normal"/>
    <w:link w:val="Heading8Char"/>
    <w:qFormat/>
    <w:rsid w:val="0059385C"/>
    <w:pPr>
      <w:numPr>
        <w:ilvl w:val="7"/>
        <w:numId w:val="22"/>
      </w:numPr>
      <w:spacing w:before="240" w:after="60"/>
      <w:outlineLvl w:val="7"/>
    </w:pPr>
    <w:rPr>
      <w:i/>
    </w:rPr>
  </w:style>
  <w:style w:type="paragraph" w:styleId="Heading9">
    <w:name w:val="heading 9"/>
    <w:aliases w:val="I"/>
    <w:basedOn w:val="Normal"/>
    <w:next w:val="Normal"/>
    <w:link w:val="Heading9Char"/>
    <w:qFormat/>
    <w:rsid w:val="0059385C"/>
    <w:pPr>
      <w:numPr>
        <w:ilvl w:val="8"/>
        <w:numId w:val="22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EA2D4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A2D4A"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TOC2">
    <w:name w:val="toc 2"/>
    <w:next w:val="ASDEFCONNormal"/>
    <w:autoRedefine/>
    <w:uiPriority w:val="39"/>
    <w:rsid w:val="00EA2D4A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styleId="TOC1">
    <w:name w:val="toc 1"/>
    <w:autoRedefine/>
    <w:uiPriority w:val="39"/>
    <w:rsid w:val="00EA2D4A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TOC3">
    <w:name w:val="toc 3"/>
    <w:basedOn w:val="Normal"/>
    <w:next w:val="Normal"/>
    <w:autoRedefine/>
    <w:rsid w:val="00EA2D4A"/>
    <w:pPr>
      <w:spacing w:after="100"/>
      <w:ind w:left="400"/>
    </w:pPr>
  </w:style>
  <w:style w:type="character" w:styleId="Hyperlink">
    <w:name w:val="Hyperlink"/>
    <w:uiPriority w:val="99"/>
    <w:unhideWhenUsed/>
    <w:rsid w:val="00EA2D4A"/>
    <w:rPr>
      <w:color w:val="0000FF"/>
      <w:u w:val="single"/>
    </w:rPr>
  </w:style>
  <w:style w:type="paragraph" w:styleId="BalloonText">
    <w:name w:val="Balloon Text"/>
    <w:basedOn w:val="Normal"/>
    <w:semiHidden/>
    <w:rsid w:val="007A67A1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61693C"/>
    <w:rPr>
      <w:b/>
      <w:bCs/>
    </w:rPr>
  </w:style>
  <w:style w:type="table" w:styleId="TableGrid">
    <w:name w:val="Table Grid"/>
    <w:basedOn w:val="TableNormal"/>
    <w:rsid w:val="002F4AEE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Heading4"/>
    <w:rsid w:val="002F4AEE"/>
    <w:rPr>
      <w:b w:val="0"/>
    </w:rPr>
  </w:style>
  <w:style w:type="paragraph" w:styleId="EndnoteText">
    <w:name w:val="endnote text"/>
    <w:basedOn w:val="Normal"/>
    <w:semiHidden/>
    <w:rsid w:val="002F4AEE"/>
    <w:rPr>
      <w:szCs w:val="20"/>
    </w:rPr>
  </w:style>
  <w:style w:type="paragraph" w:styleId="BodyText">
    <w:name w:val="Body Text"/>
    <w:basedOn w:val="Normal"/>
    <w:rsid w:val="002F4AEE"/>
  </w:style>
  <w:style w:type="character" w:styleId="FollowedHyperlink">
    <w:name w:val="FollowedHyperlink"/>
    <w:rsid w:val="00AC3375"/>
    <w:rPr>
      <w:color w:val="800080"/>
      <w:u w:val="single"/>
    </w:rPr>
  </w:style>
  <w:style w:type="paragraph" w:customStyle="1" w:styleId="COTCOCLV2-ASDEFCON">
    <w:name w:val="COT/COC LV2 - ASDEFCON"/>
    <w:basedOn w:val="ASDEFCONNormal"/>
    <w:next w:val="COTCOCLV3-ASDEFCON"/>
    <w:rsid w:val="00EA2D4A"/>
    <w:pPr>
      <w:keepNext/>
      <w:keepLines/>
      <w:numPr>
        <w:ilvl w:val="1"/>
        <w:numId w:val="3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EA2D4A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EA2D4A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EA2D4A"/>
    <w:pPr>
      <w:numPr>
        <w:ilvl w:val="2"/>
        <w:numId w:val="3"/>
      </w:numPr>
    </w:pPr>
  </w:style>
  <w:style w:type="paragraph" w:customStyle="1" w:styleId="COTCOCLV1-ASDEFCON">
    <w:name w:val="COT/COC LV1 - ASDEFCON"/>
    <w:basedOn w:val="ASDEFCONNormal"/>
    <w:next w:val="COTCOCLV2-ASDEFCON"/>
    <w:rsid w:val="00EA2D4A"/>
    <w:pPr>
      <w:keepNext/>
      <w:keepLines/>
      <w:numPr>
        <w:numId w:val="3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EA2D4A"/>
    <w:pPr>
      <w:numPr>
        <w:ilvl w:val="3"/>
        <w:numId w:val="3"/>
      </w:numPr>
    </w:pPr>
  </w:style>
  <w:style w:type="paragraph" w:customStyle="1" w:styleId="COTCOCLV5-ASDEFCON">
    <w:name w:val="COT/COC LV5 - ASDEFCON"/>
    <w:basedOn w:val="ASDEFCONNormal"/>
    <w:rsid w:val="00EA2D4A"/>
    <w:pPr>
      <w:numPr>
        <w:ilvl w:val="4"/>
        <w:numId w:val="3"/>
      </w:numPr>
    </w:pPr>
  </w:style>
  <w:style w:type="paragraph" w:customStyle="1" w:styleId="COTCOCLV6-ASDEFCON">
    <w:name w:val="COT/COC LV6 - ASDEFCON"/>
    <w:basedOn w:val="ASDEFCONNormal"/>
    <w:rsid w:val="00EA2D4A"/>
    <w:pPr>
      <w:keepLines/>
      <w:numPr>
        <w:ilvl w:val="5"/>
        <w:numId w:val="3"/>
      </w:numPr>
    </w:pPr>
  </w:style>
  <w:style w:type="paragraph" w:customStyle="1" w:styleId="ASDEFCONOption">
    <w:name w:val="ASDEFCON Option"/>
    <w:basedOn w:val="ASDEFCONNormal"/>
    <w:rsid w:val="00EA2D4A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EA2D4A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EA2D4A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EA2D4A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EA2D4A"/>
    <w:pPr>
      <w:keepNext/>
      <w:keepLines/>
      <w:numPr>
        <w:numId w:val="4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EA2D4A"/>
    <w:pPr>
      <w:numPr>
        <w:ilvl w:val="1"/>
        <w:numId w:val="4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EA2D4A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EA2D4A"/>
    <w:pPr>
      <w:numPr>
        <w:ilvl w:val="2"/>
        <w:numId w:val="4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EA2D4A"/>
    <w:pPr>
      <w:numPr>
        <w:ilvl w:val="3"/>
        <w:numId w:val="4"/>
      </w:numPr>
    </w:pPr>
    <w:rPr>
      <w:szCs w:val="24"/>
    </w:rPr>
  </w:style>
  <w:style w:type="paragraph" w:customStyle="1" w:styleId="ASDEFCONCoverTitle">
    <w:name w:val="ASDEFCON Cover Title"/>
    <w:rsid w:val="00EA2D4A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EA2D4A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EA2D4A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EA2D4A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EA2D4A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EA2D4A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EA2D4A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EA2D4A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EA2D4A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EA2D4A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EA2D4A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EA2D4A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EA2D4A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EA2D4A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EA2D4A"/>
    <w:pPr>
      <w:numPr>
        <w:numId w:val="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EA2D4A"/>
    <w:pPr>
      <w:numPr>
        <w:numId w:val="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EA2D4A"/>
    <w:pPr>
      <w:numPr>
        <w:numId w:val="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EA2D4A"/>
    <w:pPr>
      <w:numPr>
        <w:numId w:val="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EA2D4A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EA2D4A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EA2D4A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EA2D4A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EA2D4A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EA2D4A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EA2D4A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EA2D4A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EA2D4A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EA2D4A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EA2D4A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EA2D4A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EA2D4A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EA2D4A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EA2D4A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EA2D4A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EA2D4A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EA2D4A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EA2D4A"/>
    <w:rPr>
      <w:szCs w:val="20"/>
    </w:rPr>
  </w:style>
  <w:style w:type="paragraph" w:customStyle="1" w:styleId="ASDEFCONTextBlock">
    <w:name w:val="ASDEFCON TextBlock"/>
    <w:basedOn w:val="ASDEFCONNormal"/>
    <w:qFormat/>
    <w:rsid w:val="00EA2D4A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EA2D4A"/>
    <w:pPr>
      <w:numPr>
        <w:numId w:val="9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EA2D4A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EA2D4A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EA2D4A"/>
    <w:pPr>
      <w:numPr>
        <w:numId w:val="18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EA2D4A"/>
    <w:pPr>
      <w:numPr>
        <w:numId w:val="19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EA2D4A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EA2D4A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EA2D4A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EA2D4A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EA2D4A"/>
    <w:pPr>
      <w:numPr>
        <w:numId w:val="10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EA2D4A"/>
    <w:pPr>
      <w:numPr>
        <w:ilvl w:val="1"/>
        <w:numId w:val="10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EA2D4A"/>
    <w:pPr>
      <w:numPr>
        <w:numId w:val="12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EA2D4A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EA2D4A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EA2D4A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EA2D4A"/>
    <w:pPr>
      <w:numPr>
        <w:numId w:val="16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EA2D4A"/>
    <w:pPr>
      <w:numPr>
        <w:ilvl w:val="1"/>
        <w:numId w:val="16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EA2D4A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EA2D4A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EA2D4A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EA2D4A"/>
    <w:pPr>
      <w:numPr>
        <w:numId w:val="20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EA2D4A"/>
    <w:pPr>
      <w:numPr>
        <w:ilvl w:val="6"/>
        <w:numId w:val="11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EA2D4A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EA2D4A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EA2D4A"/>
    <w:pPr>
      <w:numPr>
        <w:numId w:val="21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EA2D4A"/>
    <w:pPr>
      <w:numPr>
        <w:numId w:val="13"/>
      </w:numPr>
    </w:pPr>
  </w:style>
  <w:style w:type="character" w:customStyle="1" w:styleId="ASDEFCONRecitalsCharChar">
    <w:name w:val="ASDEFCON Recitals Char Char"/>
    <w:link w:val="ASDEFCONRecitals"/>
    <w:rsid w:val="00EA2D4A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EA2D4A"/>
    <w:pPr>
      <w:numPr>
        <w:numId w:val="14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EA2D4A"/>
    <w:pPr>
      <w:numPr>
        <w:numId w:val="15"/>
      </w:numPr>
    </w:pPr>
    <w:rPr>
      <w:b/>
      <w:i/>
    </w:rPr>
  </w:style>
  <w:style w:type="paragraph" w:styleId="Caption">
    <w:name w:val="caption"/>
    <w:basedOn w:val="Normal"/>
    <w:next w:val="Normal"/>
    <w:qFormat/>
    <w:rsid w:val="00EA2D4A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EA2D4A"/>
    <w:pPr>
      <w:numPr>
        <w:numId w:val="17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EA2D4A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EA2D4A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EA2D4A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EA2D4A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EA2D4A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EA2D4A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EA2D4A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EA2D4A"/>
    <w:pPr>
      <w:numPr>
        <w:ilvl w:val="1"/>
        <w:numId w:val="20"/>
      </w:numPr>
    </w:pPr>
  </w:style>
  <w:style w:type="character" w:customStyle="1" w:styleId="Heading1Char">
    <w:name w:val="Heading 1 Char"/>
    <w:aliases w:val="para Char,Para1 Char,Top 1 Char,ParaLevel1 Char,Level 1 Para Char,Level 1 Para1 Char,Level 1 Para2 Char,Level 1 Para3 Char,Level 1 Para4 Char,Level 1 Para11 Char,Level 1 Para21 Char,Level 1 Para31 Char,Level 1 Para5 Char,1. Char"/>
    <w:link w:val="Heading1"/>
    <w:locked/>
    <w:rsid w:val="00EA2D4A"/>
    <w:rPr>
      <w:rFonts w:ascii="Georgia" w:hAnsi="Georgia" w:cs="Arial"/>
      <w:b/>
      <w:bCs/>
      <w:color w:val="CF4520"/>
      <w:kern w:val="32"/>
      <w:sz w:val="32"/>
      <w:szCs w:val="32"/>
    </w:rPr>
  </w:style>
  <w:style w:type="character" w:customStyle="1" w:styleId="Heading2Char">
    <w:name w:val="Heading 2 Char"/>
    <w:aliases w:val="sub Char,Para2 Char,Head hdbk Char,h2 Char,Heading 21 Char,h21 Char,h22 Char,h23 Char,h24 Char,h25 Char,h26 Char,h27 Char,h28 Char,h29 Char,h211 Char,h221 Char,h231 Char,h241 Char,h251 Char,h261 Char,h271 Char,h281 Char,h210 Char,H2 Char"/>
    <w:link w:val="Heading2"/>
    <w:rsid w:val="00EA2D4A"/>
    <w:rPr>
      <w:rFonts w:ascii="Georgia" w:hAnsi="Georgia"/>
      <w:b/>
      <w:bCs/>
      <w:color w:val="CF4520"/>
      <w:sz w:val="28"/>
      <w:szCs w:val="26"/>
    </w:rPr>
  </w:style>
  <w:style w:type="character" w:customStyle="1" w:styleId="Heading3Char">
    <w:name w:val="Heading 3 Char"/>
    <w:aliases w:val="subsub Char,Para3 Char,head3hdbk Char,h3 Char,h31 Char,h32 Char,h311 Char,h33 Char,h312 Char,h34 Char,h313 Char,h35 Char,h314 Char,h36 Char,h315 Char,h37 Char,h316 Char,h321 Char,h3111 Char,h331 Char,h3121 Char,h341 Char,h3131 Char"/>
    <w:link w:val="Heading3"/>
    <w:uiPriority w:val="9"/>
    <w:rsid w:val="00EA2D4A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h4 Char,h41 Char,h42 Char,h411 Char,h43 Char,h412 Char,h44 Char,h413 Char,h45 Char,h414 Char,h46 Char,h415 Char,h47 Char,h416 Char,h421 Char,h4111 Char,h431 Char,h4121 Char,h441 Char,h4131 Char,h451 Char,h4141 Char,h461 Char,h4151 Char"/>
    <w:link w:val="Heading4"/>
    <w:uiPriority w:val="9"/>
    <w:rsid w:val="00EA2D4A"/>
    <w:rPr>
      <w:rFonts w:ascii="Arial" w:hAnsi="Arial"/>
      <w:b/>
      <w:bCs/>
      <w:i/>
      <w:iCs/>
      <w:szCs w:val="24"/>
    </w:rPr>
  </w:style>
  <w:style w:type="character" w:customStyle="1" w:styleId="Heading5Char">
    <w:name w:val="Heading 5 Char"/>
    <w:aliases w:val="Para5 Char,i. Char"/>
    <w:link w:val="Heading5"/>
    <w:rsid w:val="0059385C"/>
    <w:rPr>
      <w:rFonts w:ascii="Arial" w:hAnsi="Arial"/>
      <w:sz w:val="22"/>
      <w:szCs w:val="24"/>
    </w:rPr>
  </w:style>
  <w:style w:type="character" w:customStyle="1" w:styleId="Heading6Char">
    <w:name w:val="Heading 6 Char"/>
    <w:aliases w:val="A. Char"/>
    <w:link w:val="Heading6"/>
    <w:rsid w:val="0059385C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(i) Char"/>
    <w:link w:val="Heading7"/>
    <w:rsid w:val="0059385C"/>
    <w:rPr>
      <w:rFonts w:ascii="Arial" w:hAnsi="Arial"/>
      <w:szCs w:val="24"/>
    </w:rPr>
  </w:style>
  <w:style w:type="character" w:customStyle="1" w:styleId="Heading8Char">
    <w:name w:val="Heading 8 Char"/>
    <w:aliases w:val="(A) Char"/>
    <w:link w:val="Heading8"/>
    <w:rsid w:val="0059385C"/>
    <w:rPr>
      <w:rFonts w:ascii="Arial" w:hAnsi="Arial"/>
      <w:i/>
      <w:szCs w:val="24"/>
    </w:rPr>
  </w:style>
  <w:style w:type="character" w:customStyle="1" w:styleId="Heading9Char">
    <w:name w:val="Heading 9 Char"/>
    <w:aliases w:val="I Char"/>
    <w:link w:val="Heading9"/>
    <w:rsid w:val="0059385C"/>
    <w:rPr>
      <w:rFonts w:ascii="Arial" w:hAnsi="Arial"/>
      <w:i/>
      <w:sz w:val="18"/>
      <w:szCs w:val="24"/>
    </w:rPr>
  </w:style>
  <w:style w:type="paragraph" w:styleId="TOC4">
    <w:name w:val="toc 4"/>
    <w:basedOn w:val="Normal"/>
    <w:next w:val="Normal"/>
    <w:autoRedefine/>
    <w:rsid w:val="00EA2D4A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EA2D4A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EA2D4A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EA2D4A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EA2D4A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EA2D4A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46955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EA2D4A"/>
    <w:pPr>
      <w:numPr>
        <w:numId w:val="23"/>
      </w:numPr>
    </w:pPr>
  </w:style>
  <w:style w:type="paragraph" w:styleId="Subtitle">
    <w:name w:val="Subtitle"/>
    <w:basedOn w:val="Normal"/>
    <w:next w:val="Normal"/>
    <w:link w:val="SubtitleChar"/>
    <w:uiPriority w:val="99"/>
    <w:qFormat/>
    <w:rsid w:val="00EA2D4A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EA2D4A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EA2D4A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EA2D4A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EA2D4A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EA2D4A"/>
    <w:pPr>
      <w:tabs>
        <w:tab w:val="left" w:pos="567"/>
        <w:tab w:val="num" w:pos="720"/>
      </w:tabs>
      <w:ind w:hanging="720"/>
      <w:jc w:val="left"/>
    </w:pPr>
  </w:style>
  <w:style w:type="paragraph" w:styleId="ListParagraph">
    <w:name w:val="List Paragraph"/>
    <w:basedOn w:val="Normal"/>
    <w:uiPriority w:val="34"/>
    <w:qFormat/>
    <w:rsid w:val="00EA2D4A"/>
    <w:pPr>
      <w:spacing w:after="0"/>
      <w:ind w:left="720"/>
    </w:pPr>
  </w:style>
  <w:style w:type="paragraph" w:customStyle="1" w:styleId="Bullet2">
    <w:name w:val="Bullet 2"/>
    <w:basedOn w:val="Normal"/>
    <w:rsid w:val="00EA2D4A"/>
    <w:pPr>
      <w:numPr>
        <w:numId w:val="24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afeworkaustralia.gov.a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41</TotalTime>
  <Pages>2</Pages>
  <Words>518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DID-PM-HSE-SDS</vt:lpstr>
    </vt:vector>
  </TitlesOfParts>
  <Manager>CASG</Manager>
  <Company>Defence</Company>
  <LinksUpToDate>false</LinksUpToDate>
  <CharactersWithSpaces>3387</CharactersWithSpaces>
  <SharedDoc>false</SharedDoc>
  <HLinks>
    <vt:vector size="6" baseType="variant">
      <vt:variant>
        <vt:i4>589850</vt:i4>
      </vt:variant>
      <vt:variant>
        <vt:i4>6</vt:i4>
      </vt:variant>
      <vt:variant>
        <vt:i4>0</vt:i4>
      </vt:variant>
      <vt:variant>
        <vt:i4>5</vt:i4>
      </vt:variant>
      <vt:variant>
        <vt:lpwstr>http://safeworkaustralia.gov.au/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DID-PM-HSE-SDS</dc:title>
  <dc:subject>Safety Data Sheets</dc:subject>
  <dc:creator>ASDEFCON SOW Policy</dc:creator>
  <cp:keywords>Safety Data Sheet, SDS, Material Safety Data Sheets, MSDS</cp:keywords>
  <cp:lastModifiedBy>DAE2-</cp:lastModifiedBy>
  <cp:revision>28</cp:revision>
  <cp:lastPrinted>2009-09-28T03:59:00Z</cp:lastPrinted>
  <dcterms:created xsi:type="dcterms:W3CDTF">2018-02-09T03:43:00Z</dcterms:created>
  <dcterms:modified xsi:type="dcterms:W3CDTF">2024-08-20T21:44:00Z</dcterms:modified>
  <cp:category>ASDEFCON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Id">
    <vt:lpwstr>BM56363797</vt:lpwstr>
  </property>
  <property fmtid="{D5CDD505-2E9C-101B-9397-08002B2CF9AE}" pid="4" name="Objective-Title">
    <vt:lpwstr>DID-PM-HSE-SDS-V5.3</vt:lpwstr>
  </property>
  <property fmtid="{D5CDD505-2E9C-101B-9397-08002B2CF9AE}" pid="5" name="Objective-Comment">
    <vt:lpwstr/>
  </property>
  <property fmtid="{D5CDD505-2E9C-101B-9397-08002B2CF9AE}" pid="6" name="Objective-CreationStamp">
    <vt:filetime>2023-02-13T23:59:21Z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2024-08-20T21:42:50Z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05 PM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</vt:lpwstr>
  </property>
  <property fmtid="{D5CDD505-2E9C-101B-9397-08002B2CF9AE}" pid="24" name="Header_Right">
    <vt:lpwstr/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